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rPr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2.5pt;mso-wrap-distance-right:0pt" filled="f" o:ole="">
            <v:imagedata r:id="rId3" o:title=""/>
          </v:shape>
          <o:OLEObject Type="Embed" ProgID="CorelDRAW.Graphic.6" ShapeID="ole_rId2" DrawAspect="Content" ObjectID="_716069245" r:id="rId2"/>
        </w:objec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mc:AlternateContent>
          <mc:Choice Requires="wps">
            <w:drawing>
              <wp:anchor behindDoc="0" distT="635" distB="1270" distL="635" distR="127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635" t="635" r="1270" b="1270"/>
                <wp:wrapNone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-7.65pt;margin-top:2.5pt;width:512.95pt;height:44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635" distB="635" distL="1270" distR="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307455" cy="520700"/>
                <wp:effectExtent l="1270" t="635" r="0" b="635"/>
                <wp:wrapNone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56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6.3pt;width:496.6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 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8">
                <wp:simplePos x="0" y="0"/>
                <wp:positionH relativeFrom="column">
                  <wp:posOffset>-144780</wp:posOffset>
                </wp:positionH>
                <wp:positionV relativeFrom="paragraph">
                  <wp:posOffset>191770</wp:posOffset>
                </wp:positionV>
                <wp:extent cx="6629400" cy="635"/>
                <wp:effectExtent l="19050" t="19050" r="19050" b="19050"/>
                <wp:wrapNone/>
                <wp:docPr id="5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.4pt,15.1pt" to="510.55pt,15.1pt" ID="Фигура3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9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19050" t="19050" r="19050" b="19050"/>
                <wp:wrapNone/>
                <wp:docPr id="6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3pt,9.15pt" ID="Фигура4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ConsPlusNormal"/>
        <w:rPr>
          <w:color w:val="333333"/>
          <w:lang w:val="ru-RU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>«18» декабря</w:t>
      </w:r>
      <w:r>
        <w:rPr>
          <w:rFonts w:cs="Times New Roman" w:ascii="Times New Roman" w:hAnsi="Times New Roman"/>
          <w:b/>
          <w:color w:val="333333"/>
          <w:sz w:val="28"/>
          <w:szCs w:val="28"/>
        </w:rPr>
        <w:t xml:space="preserve"> 2025 г.</w:t>
        <w:tab/>
      </w: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 xml:space="preserve">                                         </w:t>
      </w:r>
      <w:r>
        <w:rPr>
          <w:rFonts w:cs="Times New Roman" w:ascii="Times New Roman" w:hAnsi="Times New Roman"/>
          <w:b/>
          <w:color w:val="333333"/>
          <w:sz w:val="28"/>
          <w:szCs w:val="28"/>
        </w:rPr>
        <w:tab/>
        <w:tab/>
        <w:t xml:space="preserve">  </w:t>
      </w: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 xml:space="preserve">      </w:t>
      </w:r>
      <w:r>
        <w:rPr>
          <w:rFonts w:cs="Times New Roman" w:ascii="Times New Roman" w:hAnsi="Times New Roman"/>
          <w:b/>
          <w:color w:val="333333"/>
          <w:sz w:val="28"/>
          <w:szCs w:val="28"/>
        </w:rPr>
        <w:t xml:space="preserve"> № </w:t>
      </w: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>250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п. Нижнеангарск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</w:t>
      </w:r>
      <w:r>
        <w:rPr>
          <w:rFonts w:cs="Segoe UI" w:ascii="Segoe UI" w:hAnsi="Segoe UI"/>
          <w:color w:val="000000"/>
          <w:sz w:val="28"/>
          <w:szCs w:val="28"/>
          <w:shd w:fill="F9FAFB" w:val="clear"/>
        </w:rPr>
        <w:t xml:space="preserve"> </w:t>
      </w:r>
      <w:r>
        <w:rPr>
          <w:sz w:val="28"/>
          <w:szCs w:val="28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</w:t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</w:t>
      </w:r>
      <w:hyperlink r:id="rId4">
        <w:r>
          <w:rPr>
            <w:rStyle w:val="Style8"/>
            <w:sz w:val="28"/>
            <w:szCs w:val="28"/>
          </w:rPr>
          <w:t xml:space="preserve"> статьей 44</w:t>
        </w:r>
      </w:hyperlink>
      <w:r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постановляю: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/>
      </w:pPr>
      <w:r>
        <w:rPr/>
        <w:t>Утвердить Программу профилактики рисков причинения вреда (ущерба)</w:t>
      </w:r>
      <w:r>
        <w:rPr>
          <w:color w:val="000000"/>
          <w:shd w:fill="F9FAFB" w:val="clear"/>
        </w:rPr>
        <w:t xml:space="preserve"> </w:t>
      </w:r>
      <w:r>
        <w:rPr/>
        <w:t>охраняемым законом ценностям</w:t>
      </w:r>
      <w:r>
        <w:rPr>
          <w:rFonts w:cs="Segoe UI" w:ascii="Segoe UI" w:hAnsi="Segoe UI"/>
          <w:color w:val="000000"/>
          <w:shd w:fill="F9FAFB" w:val="clear"/>
        </w:rPr>
        <w:t xml:space="preserve"> </w:t>
      </w:r>
      <w:r>
        <w:rPr/>
        <w:t>при осуществлении муниципального</w:t>
      </w:r>
      <w:r>
        <w:rPr>
          <w:b/>
        </w:rPr>
        <w:t xml:space="preserve"> </w:t>
      </w:r>
      <w:r>
        <w:rPr/>
        <w:t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</w:t>
      </w:r>
      <w:r>
        <w:rPr>
          <w:lang w:val="ru-RU"/>
        </w:rPr>
        <w:t>6</w:t>
      </w:r>
      <w:r>
        <w:rPr/>
        <w:t xml:space="preserve"> год согласно приложению к настоящему постановлению.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Отделу по муниципальному контролю Администрации муниципального образования «Северо-Байкальский район» (</w:t>
      </w:r>
      <w:r>
        <w:rPr>
          <w:color w:val="000000"/>
          <w:sz w:val="28"/>
          <w:szCs w:val="28"/>
          <w:lang w:val="ru-RU"/>
        </w:rPr>
        <w:t>А.С Алексееву</w:t>
      </w:r>
      <w:r>
        <w:rPr>
          <w:color w:val="000000"/>
          <w:sz w:val="28"/>
          <w:szCs w:val="28"/>
        </w:rPr>
        <w:t>) после дня официального опубликования настоящего постановления обеспечить размещение программы профилактики на официальном сайте Администрации муниципального образования «Северо-Байкальский район» в сети «Интернет».</w:t>
      </w:r>
    </w:p>
    <w:p>
      <w:pPr>
        <w:pStyle w:val="Normal"/>
        <w:ind w:firstLine="567"/>
        <w:jc w:val="both"/>
        <w:rPr>
          <w:b/>
          <w:bCs/>
          <w:color w:val="000000"/>
          <w:sz w:val="32"/>
          <w:szCs w:val="32"/>
          <w:lang w:val="ru-RU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Настоящее постановле</w:t>
      </w:r>
      <w:r>
        <w:rPr>
          <w:sz w:val="28"/>
          <w:szCs w:val="28"/>
        </w:rPr>
        <w:t>ние вступает в силу после его официального опубликования.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- Руководитель </w:t>
        <w:tab/>
        <w:tab/>
        <w:tab/>
        <w:tab/>
        <w:tab/>
        <w:tab/>
        <w:t xml:space="preserve">      </w:t>
        <w:tab/>
        <w:tab/>
        <w:t>И.В. Пухарев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>
      <w:pPr>
        <w:pStyle w:val="Normal"/>
        <w:ind w:right="-1"/>
        <w:jc w:val="both"/>
        <w:rPr>
          <w:sz w:val="20"/>
          <w:lang w:val="ru-RU"/>
        </w:rPr>
      </w:pPr>
      <w:r>
        <w:rPr>
          <w:sz w:val="20"/>
        </w:rPr>
        <w:t xml:space="preserve">Исп. </w:t>
      </w:r>
      <w:r>
        <w:rPr>
          <w:sz w:val="20"/>
          <w:lang w:val="ru-RU"/>
        </w:rPr>
        <w:t>Алексеев А.С</w:t>
      </w:r>
    </w:p>
    <w:p>
      <w:pPr>
        <w:pStyle w:val="Normal"/>
        <w:ind w:right="-1"/>
        <w:rPr>
          <w:sz w:val="28"/>
          <w:szCs w:val="28"/>
        </w:rPr>
      </w:pPr>
      <w:r>
        <w:rPr>
          <w:rFonts w:ascii="Wingdings" w:hAnsi="Wingdings"/>
          <w:sz w:val="20"/>
        </w:rPr>
        <w:t></w:t>
      </w:r>
      <w:r>
        <w:rPr>
          <w:sz w:val="20"/>
        </w:rPr>
        <w:t>8(30130) 47-619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УТВЕРЖДЕНА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МО «Северо-Байкальский район» 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«18» декабря 2025 </w:t>
      </w:r>
      <w:r>
        <w:rPr>
          <w:color w:val="333333"/>
          <w:sz w:val="28"/>
          <w:szCs w:val="28"/>
        </w:rPr>
        <w:t xml:space="preserve">г. № </w:t>
      </w:r>
      <w:r>
        <w:rPr>
          <w:color w:val="333333"/>
          <w:sz w:val="28"/>
          <w:szCs w:val="28"/>
          <w:lang w:val="ru-RU"/>
        </w:rPr>
        <w:t>250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2026 год.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FF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themeColor="text1"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Анализ текущего состояния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описание текущего развития профилактической деятельности контрольно (надзорного) органа, характеристика проблем, на решение которых направлена программа профилактики.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Вид муниципального контроля: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Предметом муниципального контроля за исполнением единой теплоснабжающей организацией обязательств является соблюдение теплоснабжающей организацией в процессе реализации мероприятий по строительству, реконструкции и (или) модернизации объектов теплоснабжения в муниципальном образовании «Северо-Байкальский район», необходимых для развития, обеспечения </w:t>
      </w:r>
      <w:r>
        <w:rPr>
          <w:sz w:val="28"/>
          <w:szCs w:val="28"/>
          <w:lang w:val="ru-RU"/>
        </w:rPr>
        <w:t>надёжности</w:t>
      </w:r>
      <w:r>
        <w:rPr>
          <w:sz w:val="28"/>
          <w:szCs w:val="28"/>
        </w:rPr>
        <w:t xml:space="preserve"> и энергетической эффективности системы теплоснабжения и </w:t>
      </w:r>
      <w:r>
        <w:rPr>
          <w:sz w:val="28"/>
          <w:szCs w:val="28"/>
          <w:lang w:val="ru-RU"/>
        </w:rPr>
        <w:t>определённых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  <w:lang w:val="ru-RU"/>
        </w:rPr>
        <w:t>неё</w:t>
      </w:r>
      <w:r>
        <w:rPr>
          <w:sz w:val="28"/>
          <w:szCs w:val="28"/>
        </w:rPr>
        <w:t xml:space="preserve">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Объектами муниципального контроля за исполнением единой теплоснабжающей организацией обязательств являются: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деятельность, действия (бездействие) теплоснабжающей организации (далее также – контролируемое лицо) по исполнению обязательств, в рамках которых должны соблюдаться обязательные требования, указанные в 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</w:t>
      </w:r>
      <w:r>
        <w:rPr>
          <w:sz w:val="28"/>
          <w:szCs w:val="28"/>
          <w:lang w:val="ru-RU"/>
        </w:rPr>
        <w:t>надёжности</w:t>
      </w:r>
      <w:r>
        <w:rPr>
          <w:sz w:val="28"/>
          <w:szCs w:val="28"/>
        </w:rPr>
        <w:t xml:space="preserve"> и энергетической эффективности системы теплоснабжения, </w:t>
      </w:r>
      <w:r>
        <w:rPr>
          <w:sz w:val="28"/>
          <w:szCs w:val="28"/>
          <w:lang w:val="ru-RU"/>
        </w:rPr>
        <w:t>определённые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  <w:lang w:val="ru-RU"/>
        </w:rPr>
        <w:t>неё</w:t>
      </w:r>
      <w:r>
        <w:rPr>
          <w:sz w:val="28"/>
          <w:szCs w:val="28"/>
        </w:rPr>
        <w:t xml:space="preserve"> в схеме теплоснабжения в соответствии с перечнем и сроками, указанными в схеме теплоснабжения;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№ 190-ФЗ «О теплоснабжении»;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 указанные в части 3 статьи 23.7 Федерального закона от 27.07.2010 № 190-ФЗ «О теплоснабжении».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Подконтрольные субъекты: - граждане и организации, указанные в части 1 статьи 31 Федерального закона от 31.07.2020 №248-ФЗ (О государственном контроле (надзоре) и муниципальном контроле в Российской Федерации),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Текущее развитие профилактической деятельности контрольного органа. Фактически на территории муниципального образования «Северо-Байкальский район» муниципальный контроль за исполнением теплоснабжающей организацией обязательств по строительству, реконструкции и (или) модернизации объектов теплоснабжения системно не осуществлялся в связи ограничениями, введенными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Характеристика проблем, на решение которых направлена программа профилактики. Программа направлена на решение проблем по недопущению нарушений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надёжности и энергетической эффективности системы теплоснабжения и определённых для неё в схеме теплоснабжения, требований Федерального закона № 190-ФЗ от 27.07.2010 «О теплоснабжении» и принятых в соответствии с ним иных нормативных правовых актов, в том числе, соответствие таких реализуемых мероприятий схеме теплоснабжения.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Ответственным структурным подразделением является отдел по муниципальному контролю Администрации муниципального образования «Северо-Байкальский район». </w:t>
      </w:r>
    </w:p>
    <w:p>
      <w:pPr>
        <w:pStyle w:val="Normal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firstLine="567"/>
        <w:jc w:val="center"/>
        <w:rPr>
          <w:b/>
          <w:szCs w:val="28"/>
        </w:rPr>
      </w:pPr>
      <w:bookmarkStart w:id="0" w:name="sub_1200"/>
      <w:bookmarkEnd w:id="0"/>
      <w:r>
        <w:rPr>
          <w:b/>
          <w:szCs w:val="28"/>
        </w:rPr>
        <w:t>РАЗДЕЛ 2. Цели и задачи реализации программы профилактики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bookmarkStart w:id="1" w:name="sub_1005"/>
      <w:bookmarkStart w:id="2" w:name="sub_1200_Копия_1"/>
      <w:bookmarkEnd w:id="2"/>
      <w:r>
        <w:rPr>
          <w:sz w:val="28"/>
          <w:szCs w:val="28"/>
        </w:rPr>
        <w:t>Целями реализации Программы являются:</w:t>
      </w:r>
      <w:bookmarkEnd w:id="1"/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добросовестного соблюдения обязательных требований контролируемым лицом;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теплоснабжающей организации;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контролируемого лица, повышение информированности о способах их соблюдения.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Задачами реализации Программы являются: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теплоснабжающей организации;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повышение правосознания и правовой культуры юридических лиц в сфере строительства, реконструкции и (или) модернизации объектов теплоснабжения;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sub_1150"/>
      <w:bookmarkEnd w:id="3"/>
      <w:r>
        <w:rPr>
          <w:rFonts w:cs="Times New Roman" w:ascii="Times New Roman" w:hAnsi="Times New Roman"/>
          <w:bCs/>
          <w:color w:val="26282F"/>
          <w:sz w:val="28"/>
          <w:szCs w:val="28"/>
        </w:rPr>
        <w:t xml:space="preserve">РАЗДЕЛ 3. </w:t>
      </w:r>
      <w:r>
        <w:rPr>
          <w:rFonts w:cs="Times New Roman" w:ascii="Times New Roman" w:hAnsi="Times New Roman"/>
          <w:sz w:val="28"/>
          <w:szCs w:val="28"/>
        </w:rPr>
        <w:t xml:space="preserve">Перечень профилактических мероприятий,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(периодичность) их проведения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2"/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968"/>
        <w:gridCol w:w="1620"/>
        <w:gridCol w:w="2920"/>
      </w:tblGrid>
      <w:tr>
        <w:trPr/>
        <w:tc>
          <w:tcPr>
            <w:tcW w:w="693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496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Наименование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профилактического мероприятия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Срок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реализации</w:t>
            </w:r>
          </w:p>
        </w:tc>
        <w:tc>
          <w:tcPr>
            <w:tcW w:w="2920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Ответственные должностные лица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496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Информирование, посредством размещения (поддержания в актуальном состоянии) на официальном сайте органов местного самоуправления.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постоянно</w:t>
            </w:r>
          </w:p>
        </w:tc>
        <w:tc>
          <w:tcPr>
            <w:tcW w:w="29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496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консультирование по вопросам соблюдения обязательных требований;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постоянно</w:t>
            </w:r>
          </w:p>
        </w:tc>
        <w:tc>
          <w:tcPr>
            <w:tcW w:w="29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496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доклада о муниципальном контроле</w:t>
            </w: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за исполнением теплоснабжающей организацией обязательств по строительству, реконструкции и (или) модернизации объектов теплоснабжения.</w:t>
            </w:r>
          </w:p>
        </w:tc>
        <w:tc>
          <w:tcPr>
            <w:tcW w:w="1620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До 2027 года</w:t>
            </w:r>
          </w:p>
        </w:tc>
        <w:tc>
          <w:tcPr>
            <w:tcW w:w="29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496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1620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(при наличии оснований)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29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93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496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Консультирование посредством видео-конференц-связи, на личном приёме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</w:tc>
        <w:tc>
          <w:tcPr>
            <w:tcW w:w="1620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29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  <w:tr>
        <w:trPr>
          <w:trHeight w:val="3903" w:hRule="atLeast"/>
        </w:trPr>
        <w:tc>
          <w:tcPr>
            <w:tcW w:w="693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6.</w:t>
            </w:r>
          </w:p>
        </w:tc>
        <w:tc>
          <w:tcPr>
            <w:tcW w:w="4968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Профилактический визит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 xml:space="preserve"> в целях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1620" w:type="dxa"/>
            <w:tcBorders/>
          </w:tcPr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1 раз в год</w:t>
            </w:r>
          </w:p>
        </w:tc>
        <w:tc>
          <w:tcPr>
            <w:tcW w:w="29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Начальник отдела по муниципальному контролю,</w:t>
            </w:r>
          </w:p>
          <w:p>
            <w:pPr>
              <w:pStyle w:val="ConsPlusTitl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1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консультант отдела по муниципальному контролю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4. Показатели результативности и эффективности Программы профилактики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4"/>
        <w:tblW w:w="9912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2"/>
        <w:gridCol w:w="4503"/>
        <w:gridCol w:w="4827"/>
      </w:tblGrid>
      <w:tr>
        <w:trPr>
          <w:trHeight w:val="576" w:hRule="exac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Величина</w:t>
            </w:r>
          </w:p>
        </w:tc>
      </w:tr>
      <w:tr>
        <w:trPr>
          <w:trHeight w:val="2271" w:hRule="exac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ind w:firstLine="567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ConsPlusNormal"/>
              <w:ind w:firstLine="142" w:left="119" w:right="111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Полнота информации,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размещённой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  <w:tr>
        <w:trPr>
          <w:trHeight w:val="1427" w:hRule="exac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ind w:firstLine="567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ind w:firstLine="142" w:left="119" w:right="111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  <w:tr>
        <w:trPr>
          <w:trHeight w:val="1272" w:hRule="exac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/>
              <w:ind w:left="220"/>
              <w:jc w:val="left"/>
              <w:rPr>
                <w:color w:val="000000"/>
                <w:szCs w:val="24"/>
                <w:shd w:fill="FFFFFF" w:val="clear"/>
              </w:rPr>
            </w:pPr>
            <w:r>
              <w:rPr>
                <w:color w:val="000000"/>
                <w:sz w:val="20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exact" w:line="230"/>
              <w:ind w:left="220"/>
              <w:jc w:val="left"/>
              <w:rPr>
                <w:szCs w:val="24"/>
              </w:rPr>
            </w:pPr>
            <w:r>
              <w:rPr>
                <w:color w:val="000000"/>
                <w:sz w:val="20"/>
                <w:szCs w:val="24"/>
                <w:shd w:fill="FFFFFF" w:val="clear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ind w:firstLine="142" w:left="119" w:right="111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/>
              <w:ind w:firstLine="440"/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100%</w:t>
            </w:r>
          </w:p>
        </w:tc>
      </w:tr>
    </w:tbl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</w:r>
      <w:bookmarkStart w:id="4" w:name="sub_1150_Копия_1"/>
      <w:bookmarkStart w:id="5" w:name="sub_1150_Копия_1"/>
      <w:bookmarkEnd w:id="5"/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rFonts w:ascii="yandex-sans" w:hAnsi="yandex-sans"/>
          <w:color w:themeColor="text1" w:val="000000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Результатом выполнения профилактических мероприятий, предусмотренных</w:t>
      </w:r>
      <w:r>
        <w:rPr>
          <w:sz w:val="28"/>
          <w:szCs w:val="28"/>
        </w:rPr>
        <w:t xml:space="preserve"> программой профилактики рисков причинения вреда (ущерба) охраняемым законом ценностям при осуществлении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</w:t>
      </w:r>
      <w:r>
        <w:rPr>
          <w:rFonts w:ascii="yandex-sans" w:hAnsi="yandex-sans"/>
          <w:color w:themeColor="text1" w:val="000000"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</w:rPr>
        <w:t>является снижение уровня нарушений контролируемыми лицами требований законодательства.</w:t>
      </w:r>
    </w:p>
    <w:sectPr>
      <w:type w:val="nextPage"/>
      <w:pgSz w:w="11906" w:h="16838"/>
      <w:pgMar w:left="1134" w:right="567" w:gutter="0" w:header="0" w:top="547" w:footer="0" w:bottom="8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cc"/>
    <w:family w:val="roman"/>
    <w:pitch w:val="variable"/>
  </w:font>
  <w:font w:name="yandex-san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7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Style13" w:customStyle="1">
    <w:name w:val="Заголовок Знак"/>
    <w:basedOn w:val="DefaultParagraphFont"/>
    <w:uiPriority w:val="0"/>
    <w:qFormat/>
    <w:rPr>
      <w:rFonts w:ascii="Times New Roman" w:hAnsi="Times New Roman" w:eastAsia="Times New Roman" w:cs="Times New Roman"/>
      <w:b/>
      <w:i/>
      <w:sz w:val="40"/>
      <w:szCs w:val="20"/>
      <w:lang w:eastAsia="ru-RU"/>
    </w:rPr>
  </w:style>
  <w:style w:type="character" w:styleId="ConsPlusNormal1" w:customStyle="1">
    <w:name w:val="ConsPlusNormal1"/>
    <w:link w:val="ConsPlusNormal"/>
    <w:uiPriority w:val="0"/>
    <w:qFormat/>
    <w:locked/>
    <w:rPr>
      <w:rFonts w:ascii="Arial" w:hAnsi="Arial" w:eastAsia="Times New Roman" w:cs="Arial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0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5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13"/>
    <w:uiPriority w:val="0"/>
    <w:qFormat/>
    <w:pPr>
      <w:ind w:firstLine="2268"/>
      <w:jc w:val="center"/>
    </w:pPr>
    <w:rPr>
      <w:b/>
      <w:i/>
      <w:sz w:val="40"/>
    </w:rPr>
  </w:style>
  <w:style w:type="paragraph" w:styleId="ConsPlusNormal" w:customStyle="1">
    <w:name w:val="ConsPlusNormal"/>
    <w:link w:val="ConsPlusNormal1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formattext" w:customStyle="1">
    <w:name w:val="formattext"/>
    <w:basedOn w:val="Normal"/>
    <w:uiPriority w:val="0"/>
    <w:qFormat/>
    <w:pPr>
      <w:spacing w:beforeAutospacing="1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eastAsia="Calibri"/>
      <w:sz w:val="28"/>
      <w:szCs w:val="28"/>
      <w:lang w:eastAsia="en-US"/>
    </w:rPr>
  </w:style>
  <w:style w:type="paragraph" w:styleId="Style17" w:customStyle="1">
    <w:name w:val="Содержимое врезки"/>
    <w:basedOn w:val="Normal"/>
    <w:uiPriority w:val="0"/>
    <w:qFormat/>
    <w:pPr/>
    <w:rPr/>
  </w:style>
  <w:style w:type="paragraph" w:styleId="user2">
    <w:name w:val="Содержимое врезки (user)"/>
    <w:basedOn w:val="Normal"/>
    <w:qFormat/>
    <w:pPr/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4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garantf1://12064247.8201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LibreOffice/25.8.3.2$Windows_X86_64 LibreOffice_project/8ca8d55c161d602844f5428fa4b58097424e324e</Application>
  <AppVersion>15.0000</AppVersion>
  <Pages>5</Pages>
  <Words>1321</Words>
  <Characters>10516</Characters>
  <CharactersWithSpaces>12082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2021-12-27T03:18:00Z</dcterms:created>
  <dc:creator>Hlebnikova</dc:creator>
  <dc:description/>
  <dc:language>ru-RU</dc:language>
  <cp:lastModifiedBy/>
  <cp:lastPrinted>2025-12-25T13:31:25Z</cp:lastPrinted>
  <dcterms:modified xsi:type="dcterms:W3CDTF">2025-12-25T13:31:59Z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12CBBACAF3F74B98B5A404F2989CFA1D_12</vt:lpwstr>
  </property>
  <property fmtid="{D5CDD505-2E9C-101B-9397-08002B2CF9AE}" pid="3" name="KSOProductBuildVer">
    <vt:lpwstr>1049-12.2.0.23155</vt:lpwstr>
  </property>
</Properties>
</file>